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460" w:lineRule="exact"/>
        <w:jc w:val="center"/>
        <w:rPr>
          <w:rFonts w:ascii="宋体" w:hAnsi="宋体"/>
          <w:b/>
          <w:sz w:val="36"/>
          <w:szCs w:val="36"/>
        </w:rPr>
      </w:pPr>
      <w:r>
        <w:rPr>
          <w:rFonts w:hint="eastAsia" w:ascii="宋体" w:hAnsi="宋体"/>
          <w:b/>
          <w:sz w:val="36"/>
          <w:szCs w:val="36"/>
        </w:rPr>
        <w:t>后勤管理处班子及其班子成员加强和改进民族工作</w:t>
      </w:r>
    </w:p>
    <w:p>
      <w:pPr>
        <w:widowControl/>
        <w:shd w:val="clear" w:color="auto" w:fill="FFFFFF"/>
        <w:snapToGrid w:val="0"/>
        <w:spacing w:line="460" w:lineRule="exact"/>
        <w:jc w:val="center"/>
      </w:pPr>
      <w:r>
        <w:rPr>
          <w:rFonts w:hint="eastAsia" w:ascii="宋体" w:hAnsi="宋体"/>
          <w:b/>
          <w:sz w:val="36"/>
          <w:szCs w:val="36"/>
        </w:rPr>
        <w:t>专题民主生活会征求意见表</w:t>
      </w:r>
    </w:p>
    <w:tbl>
      <w:tblPr>
        <w:tblStyle w:val="3"/>
        <w:tblpPr w:leftFromText="180" w:rightFromText="180" w:vertAnchor="text" w:horzAnchor="page" w:tblpXSpec="center" w:tblpY="302"/>
        <w:tblOverlap w:val="never"/>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635"/>
        <w:gridCol w:w="2336"/>
        <w:gridCol w:w="1985"/>
        <w:gridCol w:w="2126"/>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8" w:type="dxa"/>
            <w:vMerge w:val="restart"/>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3635" w:type="dxa"/>
            <w:vMerge w:val="restart"/>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征求意见建议内容</w:t>
            </w:r>
          </w:p>
        </w:tc>
        <w:tc>
          <w:tcPr>
            <w:tcW w:w="10416" w:type="dxa"/>
            <w:gridSpan w:val="5"/>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8" w:type="dxa"/>
            <w:vMerge w:val="continue"/>
            <w:vAlign w:val="center"/>
          </w:tcPr>
          <w:p>
            <w:pPr>
              <w:widowControl/>
              <w:snapToGrid w:val="0"/>
              <w:spacing w:line="460" w:lineRule="exact"/>
              <w:jc w:val="center"/>
              <w:rPr>
                <w:rFonts w:ascii="仿宋" w:hAnsi="仿宋" w:eastAsia="仿宋"/>
                <w:color w:val="000000"/>
                <w:sz w:val="30"/>
                <w:szCs w:val="30"/>
              </w:rPr>
            </w:pPr>
          </w:p>
        </w:tc>
        <w:tc>
          <w:tcPr>
            <w:tcW w:w="3635" w:type="dxa"/>
            <w:vMerge w:val="continue"/>
            <w:vAlign w:val="center"/>
          </w:tcPr>
          <w:p>
            <w:pPr>
              <w:widowControl/>
              <w:snapToGrid w:val="0"/>
              <w:spacing w:line="460" w:lineRule="exact"/>
              <w:jc w:val="center"/>
              <w:rPr>
                <w:rFonts w:ascii="仿宋" w:hAnsi="仿宋" w:eastAsia="仿宋"/>
                <w:color w:val="000000"/>
                <w:sz w:val="30"/>
                <w:szCs w:val="30"/>
              </w:rPr>
            </w:pPr>
          </w:p>
        </w:tc>
        <w:tc>
          <w:tcPr>
            <w:tcW w:w="2336" w:type="dxa"/>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后勤管理处班子</w:t>
            </w:r>
          </w:p>
        </w:tc>
        <w:tc>
          <w:tcPr>
            <w:tcW w:w="1985" w:type="dxa"/>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陈世体</w:t>
            </w:r>
          </w:p>
        </w:tc>
        <w:tc>
          <w:tcPr>
            <w:tcW w:w="2126" w:type="dxa"/>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王平平</w:t>
            </w:r>
          </w:p>
        </w:tc>
        <w:tc>
          <w:tcPr>
            <w:tcW w:w="1984" w:type="dxa"/>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郭炜</w:t>
            </w:r>
          </w:p>
        </w:tc>
        <w:tc>
          <w:tcPr>
            <w:tcW w:w="1985" w:type="dxa"/>
            <w:vAlign w:val="center"/>
          </w:tcPr>
          <w:p>
            <w:pPr>
              <w:widowControl/>
              <w:snapToGrid w:val="0"/>
              <w:spacing w:line="460" w:lineRule="exact"/>
              <w:jc w:val="center"/>
              <w:rPr>
                <w:rFonts w:ascii="仿宋" w:hAnsi="仿宋" w:eastAsia="仿宋"/>
                <w:color w:val="000000"/>
                <w:sz w:val="30"/>
                <w:szCs w:val="30"/>
              </w:rPr>
            </w:pPr>
            <w:r>
              <w:rPr>
                <w:rFonts w:hint="eastAsia" w:ascii="仿宋" w:hAnsi="仿宋" w:eastAsia="仿宋"/>
                <w:color w:val="000000"/>
                <w:sz w:val="30"/>
                <w:szCs w:val="30"/>
              </w:rPr>
              <w:t>陈立永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tcPr>
          <w:p>
            <w:pPr>
              <w:widowControl/>
              <w:snapToGrid w:val="0"/>
              <w:spacing w:line="460" w:lineRule="exact"/>
              <w:jc w:val="center"/>
              <w:rPr>
                <w:rFonts w:ascii="宋体" w:hAnsi="宋体" w:cs="宋体"/>
                <w:color w:val="000000"/>
                <w:sz w:val="28"/>
                <w:szCs w:val="28"/>
              </w:rPr>
            </w:pPr>
          </w:p>
          <w:p>
            <w:pPr>
              <w:widowControl/>
              <w:snapToGrid w:val="0"/>
              <w:spacing w:line="460" w:lineRule="exact"/>
              <w:jc w:val="center"/>
              <w:rPr>
                <w:rFonts w:ascii="宋体" w:hAnsi="宋体" w:cs="宋体"/>
                <w:color w:val="000000"/>
                <w:sz w:val="28"/>
                <w:szCs w:val="28"/>
              </w:rPr>
            </w:pPr>
            <w:r>
              <w:rPr>
                <w:rFonts w:hint="eastAsia" w:ascii="宋体" w:hAnsi="宋体" w:cs="宋体"/>
                <w:color w:val="000000"/>
                <w:sz w:val="28"/>
                <w:szCs w:val="28"/>
              </w:rPr>
              <w:t>1</w:t>
            </w:r>
          </w:p>
        </w:tc>
        <w:tc>
          <w:tcPr>
            <w:tcW w:w="3635" w:type="dxa"/>
            <w:vAlign w:val="center"/>
          </w:tcPr>
          <w:p>
            <w:pPr>
              <w:widowControl/>
              <w:snapToGrid w:val="0"/>
              <w:rPr>
                <w:rFonts w:ascii="宋体" w:hAnsi="宋体" w:cs="宋体"/>
                <w:color w:val="000000"/>
                <w:szCs w:val="21"/>
              </w:rPr>
            </w:pPr>
            <w:r>
              <w:rPr>
                <w:rFonts w:hint="eastAsia" w:ascii="宋体" w:hAnsi="宋体" w:cs="宋体"/>
                <w:color w:val="000000"/>
                <w:szCs w:val="21"/>
              </w:rPr>
              <w:t>在学习贯彻落实习近平总书记关于民族工作、推广普及国家通用语言文字的重要论述和党中央相关决策部署等方面</w:t>
            </w:r>
          </w:p>
        </w:tc>
        <w:tc>
          <w:tcPr>
            <w:tcW w:w="2336" w:type="dxa"/>
          </w:tcPr>
          <w:p>
            <w:pPr>
              <w:widowControl/>
              <w:snapToGrid w:val="0"/>
              <w:spacing w:line="460" w:lineRule="exact"/>
              <w:rPr>
                <w:rFonts w:ascii="宋体" w:hAnsi="宋体" w:cs="宋体"/>
                <w:color w:val="000000"/>
                <w:sz w:val="24"/>
                <w:szCs w:val="24"/>
              </w:rPr>
            </w:pPr>
          </w:p>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68" w:type="dxa"/>
          </w:tcPr>
          <w:p>
            <w:pPr>
              <w:widowControl/>
              <w:snapToGrid w:val="0"/>
              <w:jc w:val="center"/>
              <w:rPr>
                <w:rFonts w:ascii="宋体" w:hAnsi="宋体" w:cs="宋体"/>
                <w:color w:val="000000"/>
                <w:sz w:val="28"/>
                <w:szCs w:val="28"/>
              </w:rPr>
            </w:pPr>
            <w:r>
              <w:rPr>
                <w:rFonts w:hint="eastAsia" w:ascii="宋体" w:hAnsi="宋体" w:cs="宋体"/>
                <w:color w:val="000000"/>
                <w:sz w:val="28"/>
                <w:szCs w:val="28"/>
              </w:rPr>
              <w:t>2</w:t>
            </w:r>
          </w:p>
        </w:tc>
        <w:tc>
          <w:tcPr>
            <w:tcW w:w="3635" w:type="dxa"/>
            <w:vAlign w:val="center"/>
          </w:tcPr>
          <w:p>
            <w:pPr>
              <w:widowControl/>
              <w:shd w:val="clear" w:color="auto" w:fill="FFFFFF"/>
              <w:snapToGrid w:val="0"/>
              <w:rPr>
                <w:rFonts w:ascii="宋体" w:hAnsi="宋体" w:cs="宋体"/>
                <w:color w:val="000000"/>
                <w:szCs w:val="21"/>
              </w:rPr>
            </w:pPr>
            <w:r>
              <w:rPr>
                <w:rFonts w:hint="eastAsia" w:ascii="宋体" w:hAnsi="宋体" w:cs="宋体"/>
                <w:color w:val="000000"/>
                <w:szCs w:val="21"/>
              </w:rPr>
              <w:t>在落实推进党中央关于推进双语教学改革的重大决策部署方面</w:t>
            </w:r>
          </w:p>
        </w:tc>
        <w:tc>
          <w:tcPr>
            <w:tcW w:w="2336"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68" w:type="dxa"/>
          </w:tcPr>
          <w:p>
            <w:pPr>
              <w:widowControl/>
              <w:snapToGrid w:val="0"/>
              <w:spacing w:line="460" w:lineRule="exact"/>
              <w:jc w:val="center"/>
              <w:rPr>
                <w:rFonts w:ascii="宋体" w:hAnsi="宋体" w:cs="宋体"/>
                <w:color w:val="000000"/>
                <w:sz w:val="28"/>
                <w:szCs w:val="28"/>
              </w:rPr>
            </w:pPr>
            <w:r>
              <w:rPr>
                <w:rFonts w:hint="eastAsia" w:ascii="宋体" w:hAnsi="宋体" w:cs="宋体"/>
                <w:color w:val="000000"/>
                <w:sz w:val="28"/>
                <w:szCs w:val="28"/>
              </w:rPr>
              <w:t>3</w:t>
            </w:r>
          </w:p>
        </w:tc>
        <w:tc>
          <w:tcPr>
            <w:tcW w:w="3635" w:type="dxa"/>
            <w:vAlign w:val="center"/>
          </w:tcPr>
          <w:p>
            <w:pPr>
              <w:widowControl/>
              <w:shd w:val="clear" w:color="auto" w:fill="FFFFFF"/>
              <w:snapToGrid w:val="0"/>
              <w:rPr>
                <w:rFonts w:ascii="宋体" w:hAnsi="宋体" w:cs="宋体"/>
                <w:color w:val="000000"/>
                <w:szCs w:val="21"/>
              </w:rPr>
            </w:pPr>
            <w:r>
              <w:rPr>
                <w:rFonts w:hint="eastAsia" w:ascii="宋体" w:hAnsi="宋体" w:cs="宋体"/>
                <w:color w:val="000000"/>
                <w:szCs w:val="21"/>
              </w:rPr>
              <w:t>对党的民族政策贯彻落实、做好民族工作有关问题方面，特别是在应对处置推进国家统编教材工作方面</w:t>
            </w:r>
          </w:p>
        </w:tc>
        <w:tc>
          <w:tcPr>
            <w:tcW w:w="2336"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68" w:type="dxa"/>
          </w:tcPr>
          <w:p>
            <w:pPr>
              <w:widowControl/>
              <w:snapToGrid w:val="0"/>
              <w:spacing w:line="460" w:lineRule="exact"/>
              <w:jc w:val="center"/>
              <w:rPr>
                <w:rFonts w:ascii="宋体" w:hAnsi="宋体" w:cs="宋体"/>
                <w:color w:val="000000"/>
                <w:sz w:val="28"/>
                <w:szCs w:val="28"/>
              </w:rPr>
            </w:pPr>
            <w:r>
              <w:rPr>
                <w:rFonts w:hint="eastAsia" w:ascii="宋体" w:hAnsi="宋体" w:cs="宋体"/>
                <w:color w:val="000000"/>
                <w:sz w:val="28"/>
                <w:szCs w:val="28"/>
              </w:rPr>
              <w:t>4</w:t>
            </w:r>
          </w:p>
        </w:tc>
        <w:tc>
          <w:tcPr>
            <w:tcW w:w="3635" w:type="dxa"/>
            <w:vAlign w:val="center"/>
          </w:tcPr>
          <w:p>
            <w:pPr>
              <w:widowControl/>
              <w:shd w:val="clear" w:color="auto" w:fill="FFFFFF"/>
              <w:snapToGrid w:val="0"/>
              <w:rPr>
                <w:rFonts w:ascii="宋体" w:hAnsi="宋体" w:cs="宋体"/>
                <w:color w:val="000000"/>
                <w:szCs w:val="21"/>
              </w:rPr>
            </w:pPr>
            <w:r>
              <w:rPr>
                <w:rFonts w:hint="eastAsia" w:ascii="宋体" w:hAnsi="宋体" w:cs="宋体"/>
                <w:color w:val="000000"/>
                <w:szCs w:val="21"/>
              </w:rPr>
              <w:t>对习近平总书记提出的铸牢中华民族共同体意识这一原创性重大论断贯彻落实等方面</w:t>
            </w:r>
          </w:p>
        </w:tc>
        <w:tc>
          <w:tcPr>
            <w:tcW w:w="2336"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8" w:type="dxa"/>
          </w:tcPr>
          <w:p>
            <w:pPr>
              <w:widowControl/>
              <w:snapToGrid w:val="0"/>
              <w:spacing w:line="460" w:lineRule="exact"/>
              <w:jc w:val="center"/>
              <w:rPr>
                <w:rFonts w:ascii="宋体" w:hAnsi="宋体" w:cs="宋体"/>
                <w:color w:val="000000"/>
                <w:sz w:val="28"/>
                <w:szCs w:val="28"/>
              </w:rPr>
            </w:pPr>
            <w:r>
              <w:rPr>
                <w:rFonts w:hint="eastAsia" w:ascii="宋体" w:hAnsi="宋体" w:cs="宋体"/>
                <w:color w:val="000000"/>
                <w:sz w:val="28"/>
                <w:szCs w:val="28"/>
              </w:rPr>
              <w:t>5</w:t>
            </w:r>
          </w:p>
        </w:tc>
        <w:tc>
          <w:tcPr>
            <w:tcW w:w="3635" w:type="dxa"/>
            <w:vAlign w:val="center"/>
          </w:tcPr>
          <w:p>
            <w:pPr>
              <w:widowControl/>
              <w:snapToGrid w:val="0"/>
              <w:spacing w:line="460" w:lineRule="exact"/>
              <w:rPr>
                <w:rFonts w:ascii="宋体" w:hAnsi="宋体" w:cs="宋体"/>
                <w:color w:val="000000"/>
                <w:szCs w:val="21"/>
              </w:rPr>
            </w:pPr>
            <w:r>
              <w:rPr>
                <w:rFonts w:hint="eastAsia" w:ascii="宋体" w:hAnsi="宋体" w:cs="宋体"/>
                <w:color w:val="000000"/>
                <w:szCs w:val="21"/>
              </w:rPr>
              <w:t>在全面从严治党主体责任落实等方面</w:t>
            </w:r>
          </w:p>
        </w:tc>
        <w:tc>
          <w:tcPr>
            <w:tcW w:w="2336"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68" w:type="dxa"/>
          </w:tcPr>
          <w:p>
            <w:pPr>
              <w:widowControl/>
              <w:snapToGrid w:val="0"/>
              <w:spacing w:line="460" w:lineRule="exact"/>
              <w:jc w:val="center"/>
              <w:rPr>
                <w:rFonts w:ascii="宋体" w:hAnsi="宋体" w:cs="宋体"/>
                <w:color w:val="000000"/>
                <w:sz w:val="28"/>
                <w:szCs w:val="28"/>
              </w:rPr>
            </w:pPr>
            <w:r>
              <w:rPr>
                <w:rFonts w:hint="eastAsia" w:ascii="宋体" w:hAnsi="宋体" w:cs="宋体"/>
                <w:color w:val="000000"/>
                <w:sz w:val="28"/>
                <w:szCs w:val="28"/>
              </w:rPr>
              <w:t>6</w:t>
            </w:r>
          </w:p>
        </w:tc>
        <w:tc>
          <w:tcPr>
            <w:tcW w:w="3635" w:type="dxa"/>
            <w:vAlign w:val="center"/>
          </w:tcPr>
          <w:p>
            <w:pPr>
              <w:widowControl/>
              <w:snapToGrid w:val="0"/>
              <w:rPr>
                <w:rFonts w:ascii="宋体" w:hAnsi="宋体" w:cs="宋体"/>
                <w:color w:val="000000"/>
                <w:szCs w:val="21"/>
              </w:rPr>
            </w:pPr>
            <w:r>
              <w:rPr>
                <w:rFonts w:hint="eastAsia" w:ascii="宋体" w:hAnsi="宋体" w:cs="宋体"/>
                <w:color w:val="000000"/>
                <w:szCs w:val="21"/>
              </w:rPr>
              <w:t>在作风顽疾特别是形式主义、官僚主义等方面</w:t>
            </w:r>
          </w:p>
        </w:tc>
        <w:tc>
          <w:tcPr>
            <w:tcW w:w="2336"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宋体" w:hAnsi="宋体" w:cs="宋体"/>
                <w:color w:val="000000"/>
                <w:sz w:val="24"/>
                <w:szCs w:val="24"/>
              </w:rPr>
            </w:pPr>
          </w:p>
        </w:tc>
        <w:tc>
          <w:tcPr>
            <w:tcW w:w="2126" w:type="dxa"/>
          </w:tcPr>
          <w:p>
            <w:pPr>
              <w:widowControl/>
              <w:snapToGrid w:val="0"/>
              <w:spacing w:line="460" w:lineRule="exact"/>
              <w:rPr>
                <w:rFonts w:ascii="宋体" w:hAnsi="宋体" w:cs="宋体"/>
                <w:color w:val="000000"/>
                <w:sz w:val="24"/>
                <w:szCs w:val="24"/>
              </w:rPr>
            </w:pPr>
          </w:p>
        </w:tc>
        <w:tc>
          <w:tcPr>
            <w:tcW w:w="1984" w:type="dxa"/>
          </w:tcPr>
          <w:p>
            <w:pPr>
              <w:widowControl/>
              <w:snapToGrid w:val="0"/>
              <w:spacing w:line="460" w:lineRule="exact"/>
              <w:rPr>
                <w:rFonts w:ascii="宋体" w:hAnsi="宋体" w:cs="宋体"/>
                <w:color w:val="000000"/>
                <w:sz w:val="24"/>
                <w:szCs w:val="24"/>
              </w:rPr>
            </w:pPr>
          </w:p>
        </w:tc>
        <w:tc>
          <w:tcPr>
            <w:tcW w:w="1985" w:type="dxa"/>
          </w:tcPr>
          <w:p>
            <w:pPr>
              <w:widowControl/>
              <w:snapToGrid w:val="0"/>
              <w:spacing w:line="460" w:lineRule="exact"/>
              <w:rPr>
                <w:rFonts w:ascii="仿宋" w:hAnsi="仿宋" w:eastAsia="仿宋"/>
                <w:color w:val="000000"/>
                <w:sz w:val="30"/>
                <w:szCs w:val="30"/>
              </w:rPr>
            </w:pPr>
          </w:p>
        </w:tc>
      </w:tr>
    </w:tbl>
    <w:p/>
    <w:p>
      <w:r>
        <w:rPr>
          <w:rFonts w:hint="eastAsia"/>
        </w:rPr>
        <w:t>注：1、围绕主题从以上六个方面提出意见和建议，对后勤管理处班子及其班子成员提出意见和建议参照此表填写。</w:t>
      </w:r>
    </w:p>
    <w:p>
      <w:pPr>
        <w:ind w:firstLine="420" w:firstLineChars="200"/>
      </w:pPr>
      <w:r>
        <w:rPr>
          <w:rFonts w:hint="eastAsia"/>
        </w:rPr>
        <w:t>2、请在相应表格内填写意见建议，如内容多可另附页。如无意见填写“无”。</w:t>
      </w:r>
    </w:p>
    <w:p>
      <w:bookmarkStart w:id="0" w:name="_GoBack"/>
      <w:bookmarkEnd w:id="0"/>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77D46"/>
    <w:rsid w:val="5337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2020-12-22T09:47:00Z</dcterms:created>
  <dc:creator>荣芳Fang</dc:creator>
  <cp:lastModifiedBy>荣芳Fang</cp:lastModifiedBy>
  <dcterms:modified xsi:type="dcterms:W3CDTF">2020-12-22T09:47:44Z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